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02"/>
        <w:gridCol w:w="3175"/>
      </w:tblGrid>
      <w:tr w:rsidR="009A7E81" w:rsidRPr="00932139" w:rsidTr="00112FF9">
        <w:trPr>
          <w:tblCellSpacing w:w="15" w:type="dxa"/>
        </w:trPr>
        <w:tc>
          <w:tcPr>
            <w:tcW w:w="0" w:type="auto"/>
            <w:shd w:val="clear" w:color="auto" w:fill="990000"/>
            <w:vAlign w:val="center"/>
            <w:hideMark/>
          </w:tcPr>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w:t>
            </w:r>
          </w:p>
        </w:tc>
        <w:tc>
          <w:tcPr>
            <w:tcW w:w="0" w:type="auto"/>
            <w:vAlign w:val="center"/>
            <w:hideMark/>
          </w:tcPr>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Verdana" w:eastAsia="Times New Roman" w:hAnsi="Verdana" w:cs="Times New Roman"/>
                <w:b/>
                <w:bCs/>
                <w:color w:val="990000"/>
                <w:sz w:val="24"/>
                <w:szCs w:val="24"/>
                <w:lang w:eastAsia="fr-FR"/>
              </w:rPr>
              <w:t>EFFETS INDÉSIRABLES</w:t>
            </w:r>
            <w:r w:rsidRPr="00932139">
              <w:rPr>
                <w:rFonts w:ascii="Times New Roman" w:eastAsia="Times New Roman" w:hAnsi="Times New Roman" w:cs="Times New Roman"/>
                <w:color w:val="000000"/>
                <w:sz w:val="24"/>
                <w:szCs w:val="24"/>
                <w:lang w:eastAsia="fr-FR"/>
              </w:rPr>
              <w:t xml:space="preserve"> </w:t>
            </w:r>
          </w:p>
        </w:tc>
      </w:tr>
    </w:tbl>
    <w:p w:rsidR="009A7E81" w:rsidRPr="00932139" w:rsidRDefault="009A7E81" w:rsidP="009A7E81">
      <w:pPr>
        <w:spacing w:after="24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Les effets indésirables observés durant le traitement par le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sont en général d'intensité peu sévère et transitoires et sont plus fréquemment observés durant la première, voire les deux premières semaines du traitement et s'estompent par la suite en intensité et en fréquence.</w:t>
      </w:r>
      <w:r w:rsidRPr="00932139">
        <w:rPr>
          <w:rFonts w:ascii="Times New Roman" w:eastAsia="Times New Roman" w:hAnsi="Times New Roman" w:cs="Times New Roman"/>
          <w:color w:val="000000"/>
          <w:sz w:val="24"/>
          <w:szCs w:val="24"/>
          <w:lang w:eastAsia="fr-FR"/>
        </w:rPr>
        <w:br/>
        <w:t>Pour les effets indésirables suivants, il a été noté un effet dose-dépendant : augmentation de la transpiration, bouche sèche, insomnie, somnolence, diarrhée, nausées et fatigue.</w:t>
      </w:r>
      <w:r w:rsidRPr="00932139">
        <w:rPr>
          <w:rFonts w:ascii="Times New Roman" w:eastAsia="Times New Roman" w:hAnsi="Times New Roman" w:cs="Times New Roman"/>
          <w:color w:val="000000"/>
          <w:sz w:val="24"/>
          <w:szCs w:val="24"/>
          <w:lang w:eastAsia="fr-FR"/>
        </w:rPr>
        <w:br/>
        <w:t xml:space="preserve">Les effets indésirables observés lors d'un traitement par ISRS et/ou par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chez &gt;= 1 % des patients dans des études contrôlées versus placebo ou depuis la commercialisation, sont listés ci-dessous par classe système-organe </w:t>
      </w:r>
      <w:proofErr w:type="spellStart"/>
      <w:r w:rsidRPr="00932139">
        <w:rPr>
          <w:rFonts w:ascii="Times New Roman" w:eastAsia="Times New Roman" w:hAnsi="Times New Roman" w:cs="Times New Roman"/>
          <w:color w:val="000000"/>
          <w:sz w:val="24"/>
          <w:szCs w:val="24"/>
          <w:lang w:eastAsia="fr-FR"/>
        </w:rPr>
        <w:t>MedDRA</w:t>
      </w:r>
      <w:proofErr w:type="spellEnd"/>
      <w:r w:rsidRPr="00932139">
        <w:rPr>
          <w:rFonts w:ascii="Times New Roman" w:eastAsia="Times New Roman" w:hAnsi="Times New Roman" w:cs="Times New Roman"/>
          <w:color w:val="000000"/>
          <w:sz w:val="24"/>
          <w:szCs w:val="24"/>
          <w:lang w:eastAsia="fr-FR"/>
        </w:rPr>
        <w:t xml:space="preserve"> et selon leur fréquence.</w:t>
      </w:r>
      <w:r w:rsidRPr="00932139">
        <w:rPr>
          <w:rFonts w:ascii="Times New Roman" w:eastAsia="Times New Roman" w:hAnsi="Times New Roman" w:cs="Times New Roman"/>
          <w:color w:val="000000"/>
          <w:sz w:val="24"/>
          <w:szCs w:val="24"/>
          <w:lang w:eastAsia="fr-FR"/>
        </w:rPr>
        <w:br/>
        <w:t>Les fréquences sont ainsi définies : très fréquent (&gt;= 1/10) ; fréquent (&gt;= 1/100 à &lt; 1/10) ; peu fréquent (&gt;= 1/1000 à &lt; 1/100) ; rare (&gt;= 1/10 000 à &lt; 1/1000) ; très rare (&lt; 1/10 000) ou fréquence indéterminée (ne peut être estimée sur la base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42"/>
        <w:gridCol w:w="6789"/>
      </w:tblGrid>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jc w:val="center"/>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Classes de systèmes organes</w:t>
            </w:r>
            <w:r w:rsidRPr="00932139">
              <w:rPr>
                <w:rFonts w:ascii="Times New Roman" w:eastAsia="Times New Roman" w:hAnsi="Times New Roman" w:cs="Times New Roman"/>
                <w:color w:val="000000"/>
                <w:sz w:val="24"/>
                <w:szCs w:val="24"/>
                <w:lang w:eastAsia="fr-FR"/>
              </w:rPr>
              <w:br/>
              <w:t xml:space="preserve">Fréquence/Effet indésirable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hématologiques et du système lymphatique</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proofErr w:type="spellStart"/>
            <w:r w:rsidRPr="00932139">
              <w:rPr>
                <w:rFonts w:ascii="Times New Roman" w:eastAsia="Times New Roman" w:hAnsi="Times New Roman" w:cs="Times New Roman"/>
                <w:color w:val="000000"/>
                <w:sz w:val="24"/>
                <w:szCs w:val="24"/>
                <w:lang w:eastAsia="fr-FR"/>
              </w:rPr>
              <w:t>Thrombocytopénie</w:t>
            </w:r>
            <w:proofErr w:type="spellEnd"/>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du système immunitaire</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Hypersensibilité, réaction anaphylactique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endocriniennes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Sécrétion inappropriée d'ADH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Troubles du métabolisme et de la nutrition</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Diminution de l'appétit, diminution du poids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Augmentation de l'appétit, augmentation du poids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Hyponatrémie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Hypokaliémie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psychiatriques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Agitation, baisse de la libido, anxiété, nervosité, confusion, anorgasmie chez la femme, rêves anormaux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Agression, dépersonnalisation, hallucinations, manie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Attaque de panique, bruxisme, impatience, troubles du sommeil, idées suicidaires, comportements suicidaires</w:t>
            </w:r>
            <w:r w:rsidRPr="00932139">
              <w:rPr>
                <w:rFonts w:ascii="Times New Roman" w:eastAsia="Times New Roman" w:hAnsi="Times New Roman" w:cs="Times New Roman"/>
                <w:color w:val="000000"/>
                <w:sz w:val="24"/>
                <w:szCs w:val="24"/>
                <w:vertAlign w:val="superscript"/>
                <w:lang w:eastAsia="fr-FR"/>
              </w:rPr>
              <w:t>(1)</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du système nerveux</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Somnolence, insomnie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Tremblements, paresthésie, étourdissements, difficulté d'attention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Syncope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lastRenderedPageBreak/>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Convulsions de type grand mal, dyskinésie, perturbation du goût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Convulsions, syndrome </w:t>
            </w:r>
            <w:proofErr w:type="spellStart"/>
            <w:r w:rsidRPr="00932139">
              <w:rPr>
                <w:rFonts w:ascii="Times New Roman" w:eastAsia="Times New Roman" w:hAnsi="Times New Roman" w:cs="Times New Roman"/>
                <w:color w:val="000000"/>
                <w:sz w:val="24"/>
                <w:szCs w:val="24"/>
                <w:lang w:eastAsia="fr-FR"/>
              </w:rPr>
              <w:t>sérotoninergique</w:t>
            </w:r>
            <w:proofErr w:type="spellEnd"/>
            <w:r w:rsidRPr="00932139">
              <w:rPr>
                <w:rFonts w:ascii="Times New Roman" w:eastAsia="Times New Roman" w:hAnsi="Times New Roman" w:cs="Times New Roman"/>
                <w:color w:val="000000"/>
                <w:sz w:val="24"/>
                <w:szCs w:val="24"/>
                <w:lang w:eastAsia="fr-FR"/>
              </w:rPr>
              <w:t xml:space="preserve">, syndrome extrapyramidal, </w:t>
            </w:r>
            <w:proofErr w:type="spellStart"/>
            <w:r w:rsidRPr="00932139">
              <w:rPr>
                <w:rFonts w:ascii="Times New Roman" w:eastAsia="Times New Roman" w:hAnsi="Times New Roman" w:cs="Times New Roman"/>
                <w:color w:val="000000"/>
                <w:sz w:val="24"/>
                <w:szCs w:val="24"/>
                <w:lang w:eastAsia="fr-FR"/>
              </w:rPr>
              <w:t>akathisie</w:t>
            </w:r>
            <w:proofErr w:type="spellEnd"/>
            <w:r w:rsidRPr="00932139">
              <w:rPr>
                <w:rFonts w:ascii="Times New Roman" w:eastAsia="Times New Roman" w:hAnsi="Times New Roman" w:cs="Times New Roman"/>
                <w:color w:val="000000"/>
                <w:sz w:val="24"/>
                <w:szCs w:val="24"/>
                <w:lang w:eastAsia="fr-FR"/>
              </w:rPr>
              <w:t xml:space="preserve">, mouvements anormaux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oculaires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Mydriase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Troubles visuels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de l'oreille et du labyrinthe</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Acouphènes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cardiaques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Bradycardie (chez les patients ayant une fréquence cardiaque basse), tachycardie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Allongement du QT</w:t>
            </w:r>
            <w:r w:rsidRPr="00932139">
              <w:rPr>
                <w:rFonts w:ascii="Times New Roman" w:eastAsia="Times New Roman" w:hAnsi="Times New Roman" w:cs="Times New Roman"/>
                <w:color w:val="000000"/>
                <w:sz w:val="24"/>
                <w:szCs w:val="24"/>
                <w:vertAlign w:val="superscript"/>
                <w:lang w:eastAsia="fr-FR"/>
              </w:rPr>
              <w:t>(2)</w:t>
            </w:r>
            <w:r w:rsidRPr="00932139">
              <w:rPr>
                <w:rFonts w:ascii="Times New Roman" w:eastAsia="Times New Roman" w:hAnsi="Times New Roman" w:cs="Times New Roman"/>
                <w:color w:val="000000"/>
                <w:sz w:val="24"/>
                <w:szCs w:val="24"/>
                <w:lang w:eastAsia="fr-FR"/>
              </w:rPr>
              <w:t xml:space="preserve">, arythmie ventriculaire incluant des torsades de pointe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vasculaires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Hypotension orthostatique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932139">
              <w:rPr>
                <w:rFonts w:ascii="Times New Roman" w:eastAsia="Times New Roman" w:hAnsi="Times New Roman" w:cs="Times New Roman"/>
                <w:i/>
                <w:iCs/>
                <w:color w:val="000000"/>
                <w:sz w:val="24"/>
                <w:szCs w:val="24"/>
                <w:lang w:eastAsia="fr-FR"/>
              </w:rPr>
              <w:t>médiastinales</w:t>
            </w:r>
            <w:proofErr w:type="spellEnd"/>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Bâillements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Épistaxis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gastro-intestinales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Sécheresse buccale, nausées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Diarrhée, vomissements, constipation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Hémorragies gastro-intestinales (incluant des </w:t>
            </w:r>
            <w:proofErr w:type="spellStart"/>
            <w:r w:rsidRPr="00932139">
              <w:rPr>
                <w:rFonts w:ascii="Times New Roman" w:eastAsia="Times New Roman" w:hAnsi="Times New Roman" w:cs="Times New Roman"/>
                <w:color w:val="000000"/>
                <w:sz w:val="24"/>
                <w:szCs w:val="24"/>
                <w:lang w:eastAsia="fr-FR"/>
              </w:rPr>
              <w:t>rectorragies</w:t>
            </w:r>
            <w:proofErr w:type="spellEnd"/>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hépatobiliaires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Hépatite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Tests de la fonction hépatique anormaux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de la peau et du tissu sous-cutané</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Hypersudation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Prurit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Urticaire, alopécie, rash, purpura, photosensibilité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Ecchymoses, </w:t>
            </w:r>
            <w:proofErr w:type="spellStart"/>
            <w:r w:rsidRPr="00932139">
              <w:rPr>
                <w:rFonts w:ascii="Times New Roman" w:eastAsia="Times New Roman" w:hAnsi="Times New Roman" w:cs="Times New Roman"/>
                <w:color w:val="000000"/>
                <w:sz w:val="24"/>
                <w:szCs w:val="24"/>
                <w:lang w:eastAsia="fr-FR"/>
              </w:rPr>
              <w:t>angioedème</w:t>
            </w:r>
            <w:proofErr w:type="spellEnd"/>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 xml:space="preserve">Affections </w:t>
            </w:r>
            <w:proofErr w:type="spellStart"/>
            <w:r w:rsidRPr="00932139">
              <w:rPr>
                <w:rFonts w:ascii="Times New Roman" w:eastAsia="Times New Roman" w:hAnsi="Times New Roman" w:cs="Times New Roman"/>
                <w:i/>
                <w:iCs/>
                <w:color w:val="000000"/>
                <w:sz w:val="24"/>
                <w:szCs w:val="24"/>
                <w:lang w:eastAsia="fr-FR"/>
              </w:rPr>
              <w:t>musculosquelettiques</w:t>
            </w:r>
            <w:proofErr w:type="spellEnd"/>
            <w:r w:rsidRPr="00932139">
              <w:rPr>
                <w:rFonts w:ascii="Times New Roman" w:eastAsia="Times New Roman" w:hAnsi="Times New Roman" w:cs="Times New Roman"/>
                <w:i/>
                <w:iCs/>
                <w:color w:val="000000"/>
                <w:sz w:val="24"/>
                <w:szCs w:val="24"/>
                <w:lang w:eastAsia="fr-FR"/>
              </w:rPr>
              <w:t xml:space="preserve"> et systémiques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Myalgie, arthralgie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du rein et des voies urinaires</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lastRenderedPageBreak/>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Rétention urinaire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Affections des organes de reproduction et du sein</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Chez l'homme : impuissance, troubles de l'éjaculation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Chez la femme : ménorragie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Chez la femme : métrorragie</w:t>
            </w:r>
            <w:r w:rsidRPr="00932139">
              <w:rPr>
                <w:rFonts w:ascii="Times New Roman" w:eastAsia="Times New Roman" w:hAnsi="Times New Roman" w:cs="Times New Roman"/>
                <w:color w:val="000000"/>
                <w:sz w:val="24"/>
                <w:szCs w:val="24"/>
                <w:lang w:eastAsia="fr-FR"/>
              </w:rPr>
              <w:br/>
              <w:t xml:space="preserve">Chez l'homme : priapisme, galactorrhée </w:t>
            </w:r>
          </w:p>
        </w:tc>
      </w:tr>
      <w:tr w:rsidR="009A7E81" w:rsidRPr="00932139"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Troubles généraux et anomalies au site d'administration</w:t>
            </w:r>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Fatigue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proofErr w:type="spellStart"/>
            <w:r w:rsidRPr="00932139">
              <w:rPr>
                <w:rFonts w:ascii="Times New Roman" w:eastAsia="Times New Roman" w:hAnsi="Times New Roman" w:cs="Times New Roman"/>
                <w:color w:val="000000"/>
                <w:sz w:val="24"/>
                <w:szCs w:val="24"/>
                <w:lang w:eastAsia="fr-FR"/>
              </w:rPr>
              <w:t>OEdème</w:t>
            </w:r>
            <w:proofErr w:type="spellEnd"/>
            <w:r w:rsidRPr="00932139">
              <w:rPr>
                <w:rFonts w:ascii="Times New Roman" w:eastAsia="Times New Roman" w:hAnsi="Times New Roman" w:cs="Times New Roman"/>
                <w:color w:val="000000"/>
                <w:sz w:val="24"/>
                <w:szCs w:val="24"/>
                <w:lang w:eastAsia="fr-FR"/>
              </w:rPr>
              <w:t xml:space="preserve"> </w:t>
            </w:r>
          </w:p>
        </w:tc>
      </w:tr>
      <w:tr w:rsidR="009A7E81" w:rsidRPr="0093213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E81" w:rsidRPr="00932139" w:rsidRDefault="009A7E81" w:rsidP="00112FF9">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Pyrexie </w:t>
            </w:r>
          </w:p>
        </w:tc>
      </w:tr>
    </w:tbl>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Nombre de patients ayant reçu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/placebo : 1346/545.</w:t>
      </w:r>
      <w:r w:rsidRPr="00932139">
        <w:rPr>
          <w:rFonts w:ascii="Times New Roman" w:eastAsia="Times New Roman" w:hAnsi="Times New Roman" w:cs="Times New Roman"/>
          <w:color w:val="000000"/>
          <w:sz w:val="24"/>
          <w:szCs w:val="24"/>
          <w:lang w:eastAsia="fr-FR"/>
        </w:rPr>
        <w:br/>
      </w:r>
      <w:r w:rsidRPr="00932139">
        <w:rPr>
          <w:rFonts w:ascii="Times New Roman" w:eastAsia="Times New Roman" w:hAnsi="Times New Roman" w:cs="Times New Roman"/>
          <w:color w:val="000000"/>
          <w:sz w:val="24"/>
          <w:szCs w:val="24"/>
          <w:lang w:eastAsia="fr-FR"/>
        </w:rPr>
        <w:br/>
      </w:r>
      <w:r w:rsidRPr="00932139">
        <w:rPr>
          <w:rFonts w:ascii="Times New Roman" w:eastAsia="Times New Roman" w:hAnsi="Times New Roman" w:cs="Times New Roman"/>
          <w:color w:val="000000"/>
          <w:sz w:val="24"/>
          <w:szCs w:val="24"/>
          <w:vertAlign w:val="superscript"/>
          <w:lang w:eastAsia="fr-FR"/>
        </w:rPr>
        <w:t>(1)</w:t>
      </w:r>
      <w:r w:rsidRPr="00932139">
        <w:rPr>
          <w:rFonts w:ascii="Times New Roman" w:eastAsia="Times New Roman" w:hAnsi="Times New Roman" w:cs="Times New Roman"/>
          <w:color w:val="000000"/>
          <w:sz w:val="24"/>
          <w:szCs w:val="24"/>
          <w:lang w:eastAsia="fr-FR"/>
        </w:rPr>
        <w:t xml:space="preserve">  </w:t>
      </w:r>
      <w:r w:rsidRPr="00932139">
        <w:rPr>
          <w:rFonts w:ascii="Times New Roman" w:eastAsia="Times New Roman" w:hAnsi="Times New Roman" w:cs="Times New Roman"/>
          <w:color w:val="000000"/>
          <w:sz w:val="20"/>
          <w:szCs w:val="20"/>
          <w:lang w:eastAsia="fr-FR"/>
        </w:rPr>
        <w:t xml:space="preserve">Des cas d'idées suicidaires et de comportements suicidaires ont été rapportés au cours du traitement par le </w:t>
      </w:r>
      <w:proofErr w:type="spellStart"/>
      <w:r w:rsidRPr="00932139">
        <w:rPr>
          <w:rFonts w:ascii="Times New Roman" w:eastAsia="Times New Roman" w:hAnsi="Times New Roman" w:cs="Times New Roman"/>
          <w:color w:val="000000"/>
          <w:sz w:val="20"/>
          <w:szCs w:val="20"/>
          <w:lang w:eastAsia="fr-FR"/>
        </w:rPr>
        <w:t>citalopram</w:t>
      </w:r>
      <w:proofErr w:type="spellEnd"/>
      <w:r w:rsidRPr="00932139">
        <w:rPr>
          <w:rFonts w:ascii="Times New Roman" w:eastAsia="Times New Roman" w:hAnsi="Times New Roman" w:cs="Times New Roman"/>
          <w:color w:val="000000"/>
          <w:sz w:val="20"/>
          <w:szCs w:val="20"/>
          <w:lang w:eastAsia="fr-FR"/>
        </w:rPr>
        <w:t xml:space="preserve"> ou peu après l'arrêt du traitement (</w:t>
      </w:r>
      <w:proofErr w:type="spellStart"/>
      <w:r w:rsidRPr="00932139">
        <w:rPr>
          <w:rFonts w:ascii="Times New Roman" w:eastAsia="Times New Roman" w:hAnsi="Times New Roman" w:cs="Times New Roman"/>
          <w:color w:val="000000"/>
          <w:sz w:val="20"/>
          <w:szCs w:val="20"/>
          <w:lang w:eastAsia="fr-FR"/>
        </w:rPr>
        <w:t>cf</w:t>
      </w:r>
      <w:proofErr w:type="spellEnd"/>
      <w:r w:rsidRPr="00932139">
        <w:rPr>
          <w:rFonts w:ascii="Times New Roman" w:eastAsia="Times New Roman" w:hAnsi="Times New Roman" w:cs="Times New Roman"/>
          <w:color w:val="000000"/>
          <w:sz w:val="20"/>
          <w:szCs w:val="20"/>
          <w:lang w:eastAsia="fr-FR"/>
        </w:rPr>
        <w:t> Mises en garde et Précautions d'emploi).</w:t>
      </w:r>
      <w:r w:rsidRPr="00932139">
        <w:rPr>
          <w:rFonts w:ascii="Times New Roman" w:eastAsia="Times New Roman" w:hAnsi="Times New Roman" w:cs="Times New Roman"/>
          <w:color w:val="000000"/>
          <w:sz w:val="20"/>
          <w:szCs w:val="20"/>
          <w:lang w:eastAsia="fr-FR"/>
        </w:rPr>
        <w:br/>
      </w:r>
      <w:r w:rsidRPr="00932139">
        <w:rPr>
          <w:rFonts w:ascii="Times New Roman" w:eastAsia="Times New Roman" w:hAnsi="Times New Roman" w:cs="Times New Roman"/>
          <w:color w:val="000000"/>
          <w:sz w:val="24"/>
          <w:szCs w:val="24"/>
          <w:lang w:eastAsia="fr-FR"/>
        </w:rPr>
        <w:br/>
      </w:r>
      <w:r w:rsidRPr="00932139">
        <w:rPr>
          <w:rFonts w:ascii="Times New Roman" w:eastAsia="Times New Roman" w:hAnsi="Times New Roman" w:cs="Times New Roman"/>
          <w:color w:val="000000"/>
          <w:sz w:val="24"/>
          <w:szCs w:val="24"/>
          <w:vertAlign w:val="superscript"/>
          <w:lang w:eastAsia="fr-FR"/>
        </w:rPr>
        <w:t>(2)</w:t>
      </w:r>
      <w:r w:rsidRPr="00932139">
        <w:rPr>
          <w:rFonts w:ascii="Times New Roman" w:eastAsia="Times New Roman" w:hAnsi="Times New Roman" w:cs="Times New Roman"/>
          <w:color w:val="000000"/>
          <w:sz w:val="24"/>
          <w:szCs w:val="24"/>
          <w:lang w:eastAsia="fr-FR"/>
        </w:rPr>
        <w:t xml:space="preserve">  </w:t>
      </w:r>
      <w:r w:rsidRPr="00932139">
        <w:rPr>
          <w:rFonts w:ascii="Times New Roman" w:eastAsia="Times New Roman" w:hAnsi="Times New Roman" w:cs="Times New Roman"/>
          <w:color w:val="000000"/>
          <w:sz w:val="20"/>
          <w:szCs w:val="20"/>
          <w:lang w:eastAsia="fr-FR"/>
        </w:rPr>
        <w:t>Allongement de l'intervalle QT : des cas d'allongement de l'intervalle QT et d'arythmie ventriculaires incluant des torsades de pointes ont été rapportés depuis la commercialisation, en particulier chez les femmes et les patients présentant une hypokaliémie, un allongement de l'intervalle QT préexistant ou d'autres pathologies cardiaques (</w:t>
      </w:r>
      <w:proofErr w:type="spellStart"/>
      <w:r w:rsidRPr="00932139">
        <w:rPr>
          <w:rFonts w:ascii="Times New Roman" w:eastAsia="Times New Roman" w:hAnsi="Times New Roman" w:cs="Times New Roman"/>
          <w:color w:val="000000"/>
          <w:sz w:val="20"/>
          <w:szCs w:val="20"/>
          <w:lang w:eastAsia="fr-FR"/>
        </w:rPr>
        <w:t>cf</w:t>
      </w:r>
      <w:proofErr w:type="spellEnd"/>
      <w:r w:rsidRPr="00932139">
        <w:rPr>
          <w:rFonts w:ascii="Times New Roman" w:eastAsia="Times New Roman" w:hAnsi="Times New Roman" w:cs="Times New Roman"/>
          <w:color w:val="000000"/>
          <w:sz w:val="20"/>
          <w:szCs w:val="20"/>
          <w:lang w:eastAsia="fr-FR"/>
        </w:rPr>
        <w:t> Contre-indications, Interactions, Effets indésirables, Pharmacodynamie).</w:t>
      </w:r>
      <w:r w:rsidRPr="00932139">
        <w:rPr>
          <w:rFonts w:ascii="Times New Roman" w:eastAsia="Times New Roman" w:hAnsi="Times New Roman" w:cs="Times New Roman"/>
          <w:color w:val="000000"/>
          <w:sz w:val="20"/>
          <w:szCs w:val="20"/>
          <w:lang w:eastAsia="fr-FR"/>
        </w:rPr>
        <w:br/>
      </w:r>
      <w:r w:rsidRPr="00932139">
        <w:rPr>
          <w:rFonts w:ascii="Times New Roman" w:eastAsia="Times New Roman" w:hAnsi="Times New Roman" w:cs="Times New Roman"/>
          <w:color w:val="000000"/>
          <w:sz w:val="24"/>
          <w:szCs w:val="24"/>
          <w:lang w:eastAsia="fr-FR"/>
        </w:rPr>
        <w:t xml:space="preserve">Ont été retrouvés, en monothérapie ou lors d'associations avec d'autres psychotropes : </w:t>
      </w:r>
    </w:p>
    <w:p w:rsidR="009A7E81" w:rsidRPr="00932139" w:rsidRDefault="009A7E81" w:rsidP="009A7E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de rares cas d'ecchymoses, d'hémorragies gynécologiques, de saignements gastro-intestinaux ou autres saignements </w:t>
      </w:r>
      <w:proofErr w:type="spellStart"/>
      <w:r w:rsidRPr="00932139">
        <w:rPr>
          <w:rFonts w:ascii="Times New Roman" w:eastAsia="Times New Roman" w:hAnsi="Times New Roman" w:cs="Times New Roman"/>
          <w:color w:val="000000"/>
          <w:sz w:val="24"/>
          <w:szCs w:val="24"/>
          <w:lang w:eastAsia="fr-FR"/>
        </w:rPr>
        <w:t>cutanéomuqueux</w:t>
      </w:r>
      <w:proofErr w:type="spellEnd"/>
      <w:r w:rsidRPr="00932139">
        <w:rPr>
          <w:rFonts w:ascii="Times New Roman" w:eastAsia="Times New Roman" w:hAnsi="Times New Roman" w:cs="Times New Roman"/>
          <w:color w:val="000000"/>
          <w:sz w:val="24"/>
          <w:szCs w:val="24"/>
          <w:lang w:eastAsia="fr-FR"/>
        </w:rPr>
        <w:t> ;</w:t>
      </w:r>
    </w:p>
    <w:p w:rsidR="009A7E81" w:rsidRPr="00932139" w:rsidRDefault="009A7E81" w:rsidP="009A7E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très rarement : syndrome </w:t>
      </w:r>
      <w:proofErr w:type="spellStart"/>
      <w:r w:rsidRPr="00932139">
        <w:rPr>
          <w:rFonts w:ascii="Times New Roman" w:eastAsia="Times New Roman" w:hAnsi="Times New Roman" w:cs="Times New Roman"/>
          <w:color w:val="000000"/>
          <w:sz w:val="24"/>
          <w:szCs w:val="24"/>
          <w:lang w:eastAsia="fr-FR"/>
        </w:rPr>
        <w:t>sérotoninergique</w:t>
      </w:r>
      <w:proofErr w:type="spellEnd"/>
      <w:r w:rsidRPr="00932139">
        <w:rPr>
          <w:rFonts w:ascii="Times New Roman" w:eastAsia="Times New Roman" w:hAnsi="Times New Roman" w:cs="Times New Roman"/>
          <w:color w:val="000000"/>
          <w:sz w:val="24"/>
          <w:szCs w:val="24"/>
          <w:lang w:eastAsia="fr-FR"/>
        </w:rPr>
        <w:t xml:space="preserve"> en association (</w:t>
      </w:r>
      <w:proofErr w:type="spellStart"/>
      <w:r w:rsidRPr="00932139">
        <w:rPr>
          <w:rFonts w:ascii="Times New Roman" w:eastAsia="Times New Roman" w:hAnsi="Times New Roman" w:cs="Times New Roman"/>
          <w:color w:val="000000"/>
          <w:sz w:val="24"/>
          <w:szCs w:val="24"/>
          <w:lang w:eastAsia="fr-FR"/>
        </w:rPr>
        <w:t>cf</w:t>
      </w:r>
      <w:proofErr w:type="spellEnd"/>
      <w:r w:rsidRPr="00932139">
        <w:rPr>
          <w:rFonts w:ascii="Times New Roman" w:eastAsia="Times New Roman" w:hAnsi="Times New Roman" w:cs="Times New Roman"/>
          <w:color w:val="000000"/>
          <w:sz w:val="24"/>
          <w:szCs w:val="24"/>
          <w:lang w:eastAsia="fr-FR"/>
        </w:rPr>
        <w:t> Interactions) ;</w:t>
      </w:r>
    </w:p>
    <w:p w:rsidR="009A7E81" w:rsidRPr="00932139" w:rsidRDefault="009A7E81" w:rsidP="009A7E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de très rares cas d'élévation des enzymes hépatiques et d'exceptionnelles hépatites cytolytiques, </w:t>
      </w:r>
      <w:proofErr w:type="spellStart"/>
      <w:r w:rsidRPr="00932139">
        <w:rPr>
          <w:rFonts w:ascii="Times New Roman" w:eastAsia="Times New Roman" w:hAnsi="Times New Roman" w:cs="Times New Roman"/>
          <w:color w:val="000000"/>
          <w:sz w:val="24"/>
          <w:szCs w:val="24"/>
          <w:lang w:eastAsia="fr-FR"/>
        </w:rPr>
        <w:t>cholestatiques</w:t>
      </w:r>
      <w:proofErr w:type="spellEnd"/>
      <w:r w:rsidRPr="00932139">
        <w:rPr>
          <w:rFonts w:ascii="Times New Roman" w:eastAsia="Times New Roman" w:hAnsi="Times New Roman" w:cs="Times New Roman"/>
          <w:color w:val="000000"/>
          <w:sz w:val="24"/>
          <w:szCs w:val="24"/>
          <w:lang w:eastAsia="fr-FR"/>
        </w:rPr>
        <w:t xml:space="preserve"> ou mixtes ont été rapportés lors d'un traitement par le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w:t>
      </w:r>
    </w:p>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Des cas d'hyponatrémie réversible à l'arrêt du traitement et pouvant se révéler par une confusion, voire une crise convulsive, ont été observés, notamment chez le sujet âgé.</w:t>
      </w:r>
    </w:p>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Fractures osseuses :</w:t>
      </w:r>
      <w:r w:rsidRPr="00932139">
        <w:rPr>
          <w:rFonts w:ascii="Times New Roman" w:eastAsia="Times New Roman" w:hAnsi="Times New Roman" w:cs="Times New Roman"/>
          <w:color w:val="000000"/>
          <w:sz w:val="24"/>
          <w:szCs w:val="24"/>
          <w:lang w:eastAsia="fr-FR"/>
        </w:rPr>
        <w:t xml:space="preserve"> </w:t>
      </w:r>
    </w:p>
    <w:p w:rsidR="009A7E81" w:rsidRPr="00932139" w:rsidRDefault="009A7E81" w:rsidP="009A7E81">
      <w:pPr>
        <w:spacing w:after="0" w:line="240" w:lineRule="auto"/>
        <w:ind w:left="72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Des études épidémiologiques, réalisées principalement chez des patients âgés de 50 ans et plus, montrent un risque accru de fractures osseuses chez les patients recevant des inhibiteurs sélectifs de la recapture de la sérotonine (ISRS) ou des antidépresseurs tricycliques. Le mécanisme conduisant à ce risque est inconnu. </w:t>
      </w:r>
    </w:p>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Symptômes observés lors de l'arrêt du traitement :</w:t>
      </w:r>
      <w:r w:rsidRPr="00932139">
        <w:rPr>
          <w:rFonts w:ascii="Times New Roman" w:eastAsia="Times New Roman" w:hAnsi="Times New Roman" w:cs="Times New Roman"/>
          <w:color w:val="000000"/>
          <w:sz w:val="24"/>
          <w:szCs w:val="24"/>
          <w:lang w:eastAsia="fr-FR"/>
        </w:rPr>
        <w:t xml:space="preserve"> </w:t>
      </w:r>
    </w:p>
    <w:p w:rsidR="009A7E81" w:rsidRPr="00932139" w:rsidRDefault="009A7E81" w:rsidP="009A7E81">
      <w:pPr>
        <w:spacing w:after="0" w:line="240" w:lineRule="auto"/>
        <w:ind w:left="72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L'arrêt du traitement par le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(particulièrement lorsqu'il est brutal) conduit habituellement à la survenue de symptômes liés à cet arrêt. Les réactions le plus fréquemment rapportées sont les suivantes : sensations vertigineuses, troubles sensoriels (incluant paresthésies et sensations de choc électrique), troubles du sommeil (incluant insomnie et rêves intenses), agitation ou anxiété, nausées et/ou vomissements, tremblements, confusion, hypersudation, céphalées, diarrhée, palpitations, instabilité émotionnelle, irritabilité et troubles visuels. Généralement, ces événements sont d'intensité légère à modérée et sont spontanément résolutifs, néanmoins, ils peuvent être d'intensité sévère et/ou se prolonger chez certains patients. Il est donc conseillé lorsqu'un traitement par le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n'est plus nécessaire de </w:t>
      </w:r>
      <w:r w:rsidRPr="00932139">
        <w:rPr>
          <w:rFonts w:ascii="Times New Roman" w:eastAsia="Times New Roman" w:hAnsi="Times New Roman" w:cs="Times New Roman"/>
          <w:color w:val="000000"/>
          <w:sz w:val="24"/>
          <w:szCs w:val="24"/>
          <w:lang w:eastAsia="fr-FR"/>
        </w:rPr>
        <w:lastRenderedPageBreak/>
        <w:t>diminuer progressivement les doses (</w:t>
      </w:r>
      <w:proofErr w:type="spellStart"/>
      <w:r w:rsidRPr="00932139">
        <w:rPr>
          <w:rFonts w:ascii="Times New Roman" w:eastAsia="Times New Roman" w:hAnsi="Times New Roman" w:cs="Times New Roman"/>
          <w:color w:val="000000"/>
          <w:sz w:val="24"/>
          <w:szCs w:val="24"/>
          <w:lang w:eastAsia="fr-FR"/>
        </w:rPr>
        <w:t>cf</w:t>
      </w:r>
      <w:proofErr w:type="spellEnd"/>
      <w:r w:rsidRPr="00932139">
        <w:rPr>
          <w:rFonts w:ascii="Times New Roman" w:eastAsia="Times New Roman" w:hAnsi="Times New Roman" w:cs="Times New Roman"/>
          <w:color w:val="000000"/>
          <w:sz w:val="24"/>
          <w:szCs w:val="24"/>
          <w:lang w:eastAsia="fr-FR"/>
        </w:rPr>
        <w:t xml:space="preserve"> Posologie et Mode d'administration, Mises en garde et Précautions d'emploi). </w:t>
      </w:r>
    </w:p>
    <w:p w:rsidR="009A7E81" w:rsidRPr="00932139" w:rsidRDefault="009A7E81" w:rsidP="009A7E81">
      <w:pPr>
        <w:spacing w:after="0" w:line="240" w:lineRule="auto"/>
        <w:ind w:left="72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Par ailleurs, certains effets indésirables sont liés à la nature même de la maladie dépressive : </w:t>
      </w:r>
    </w:p>
    <w:p w:rsidR="009A7E81" w:rsidRPr="00932139" w:rsidRDefault="009A7E81" w:rsidP="009A7E8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levée de l'inhibition psychomotrice, avec risque suicidaire ;</w:t>
      </w:r>
    </w:p>
    <w:p w:rsidR="009A7E81" w:rsidRPr="00932139" w:rsidRDefault="009A7E81" w:rsidP="009A7E8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inversion de l'humeur avec apparition d'épisodes maniaques ;</w:t>
      </w:r>
    </w:p>
    <w:p w:rsidR="009A7E81" w:rsidRPr="00932139" w:rsidRDefault="009A7E81" w:rsidP="009A7E8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réactivation d'un délire chez les sujets psychotiques ;</w:t>
      </w:r>
    </w:p>
    <w:p w:rsidR="009A7E81" w:rsidRPr="00932139" w:rsidRDefault="009A7E81" w:rsidP="009A7E8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manifestations paroxystiques d'angoisse.</w:t>
      </w:r>
    </w:p>
    <w:p w:rsidR="009A7E81" w:rsidRPr="00932139" w:rsidRDefault="009A7E81" w:rsidP="009A7E81">
      <w:pPr>
        <w:spacing w:after="0" w:line="240" w:lineRule="auto"/>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i/>
          <w:iCs/>
          <w:color w:val="000000"/>
          <w:sz w:val="24"/>
          <w:szCs w:val="24"/>
          <w:lang w:eastAsia="fr-FR"/>
        </w:rPr>
        <w:t>Effets indésirables observés dans les essais cliniques dans l'épisode dépressif majeur chez l'enfant et l'adolescent :</w:t>
      </w:r>
      <w:r w:rsidRPr="00932139">
        <w:rPr>
          <w:rFonts w:ascii="Times New Roman" w:eastAsia="Times New Roman" w:hAnsi="Times New Roman" w:cs="Times New Roman"/>
          <w:color w:val="000000"/>
          <w:sz w:val="24"/>
          <w:szCs w:val="24"/>
          <w:lang w:eastAsia="fr-FR"/>
        </w:rPr>
        <w:t xml:space="preserve"> </w:t>
      </w:r>
    </w:p>
    <w:p w:rsidR="009A7E81" w:rsidRPr="00932139" w:rsidRDefault="009A7E81" w:rsidP="009A7E81">
      <w:pPr>
        <w:spacing w:after="0" w:line="240" w:lineRule="auto"/>
        <w:ind w:left="720"/>
        <w:rPr>
          <w:rFonts w:ascii="Times New Roman" w:eastAsia="Times New Roman" w:hAnsi="Times New Roman" w:cs="Times New Roman"/>
          <w:color w:val="000000"/>
          <w:sz w:val="24"/>
          <w:szCs w:val="24"/>
          <w:lang w:eastAsia="fr-FR"/>
        </w:rPr>
      </w:pPr>
      <w:r w:rsidRPr="00932139">
        <w:rPr>
          <w:rFonts w:ascii="Times New Roman" w:eastAsia="Times New Roman" w:hAnsi="Times New Roman" w:cs="Times New Roman"/>
          <w:color w:val="000000"/>
          <w:sz w:val="24"/>
          <w:szCs w:val="24"/>
          <w:lang w:eastAsia="fr-FR"/>
        </w:rPr>
        <w:t xml:space="preserve">Des effets indésirables psychiatriques ont été rapportés dans les essais cliniques menés avec le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dans l'épisode dépressif majeur de l'enfant et l'adolescent de moins de 18 ans. Ces effets indésirables, notamment comportement de type suicidaire (incluant tentative de suicide et idées suicidaires) et agitation, rappellent ceux observés avec les autres ISRS et pourraient traduire un effet stimulant du </w:t>
      </w:r>
      <w:proofErr w:type="spellStart"/>
      <w:r w:rsidRPr="00932139">
        <w:rPr>
          <w:rFonts w:ascii="Times New Roman" w:eastAsia="Times New Roman" w:hAnsi="Times New Roman" w:cs="Times New Roman"/>
          <w:color w:val="000000"/>
          <w:sz w:val="24"/>
          <w:szCs w:val="24"/>
          <w:lang w:eastAsia="fr-FR"/>
        </w:rPr>
        <w:t>citalopram</w:t>
      </w:r>
      <w:proofErr w:type="spellEnd"/>
      <w:r w:rsidRPr="00932139">
        <w:rPr>
          <w:rFonts w:ascii="Times New Roman" w:eastAsia="Times New Roman" w:hAnsi="Times New Roman" w:cs="Times New Roman"/>
          <w:color w:val="000000"/>
          <w:sz w:val="24"/>
          <w:szCs w:val="24"/>
          <w:lang w:eastAsia="fr-FR"/>
        </w:rPr>
        <w:t xml:space="preserv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015C"/>
    <w:multiLevelType w:val="multilevel"/>
    <w:tmpl w:val="84B0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51019"/>
    <w:multiLevelType w:val="multilevel"/>
    <w:tmpl w:val="93E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A7E81"/>
    <w:rsid w:val="00017B31"/>
    <w:rsid w:val="0006330F"/>
    <w:rsid w:val="00085F0B"/>
    <w:rsid w:val="0009769E"/>
    <w:rsid w:val="000C4178"/>
    <w:rsid w:val="00120A2B"/>
    <w:rsid w:val="001931B1"/>
    <w:rsid w:val="001A53D5"/>
    <w:rsid w:val="001B3E26"/>
    <w:rsid w:val="00282113"/>
    <w:rsid w:val="002D0F57"/>
    <w:rsid w:val="003164DC"/>
    <w:rsid w:val="0034030B"/>
    <w:rsid w:val="00370323"/>
    <w:rsid w:val="004276C2"/>
    <w:rsid w:val="004771A7"/>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A7E81"/>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6356</Characters>
  <Application>Microsoft Office Word</Application>
  <DocSecurity>0</DocSecurity>
  <Lines>52</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2013-10-30T14:17:00Z</dcterms:created>
  <dcterms:modified xsi:type="dcterms:W3CDTF">2013-10-30T14:17:00Z</dcterms:modified>
</cp:coreProperties>
</file>